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a0"/>
        <w:numPr>
          <w:ilvl w:val="0"/>
          <w:numId w:val="0"/>
        </w:numPr>
        <w:overflowPunct w:val="0"/>
        <w:autoSpaceDE w:val="0"/>
        <w:autoSpaceDN w:val="0"/>
        <w:spacing w:before="156" w:after="156" w:line="400" w:lineRule="exact"/>
        <w:jc w:val="center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《环境工程学报》表格规范</w:t>
      </w:r>
    </w:p>
    <w:p>
      <w:pPr>
        <w:pStyle w:val="a0"/>
        <w:numPr>
          <w:ilvl w:val="0"/>
          <w:numId w:val="0"/>
        </w:numPr>
        <w:overflowPunct w:val="0"/>
        <w:autoSpaceDE w:val="0"/>
        <w:autoSpaceDN w:val="0"/>
        <w:adjustRightInd w:val="0"/>
        <w:snapToGrid w:val="0"/>
        <w:spacing w:before="156" w:after="156" w:line="400" w:lineRule="exact"/>
        <w:contextualSpacing/>
        <w:rPr>
          <w:rFonts w:ascii="宋体" w:eastAsia="宋体" w:hAnsi="宋体"/>
          <w:b/>
          <w:bCs/>
          <w:sz w:val="28"/>
          <w:szCs w:val="28"/>
        </w:rPr>
      </w:pPr>
    </w:p>
    <w:p>
      <w:pPr>
        <w:pStyle w:val="a0"/>
        <w:numPr>
          <w:ilvl w:val="0"/>
          <w:numId w:val="0"/>
        </w:numPr>
        <w:overflowPunct w:val="0"/>
        <w:autoSpaceDE w:val="0"/>
        <w:autoSpaceDN w:val="0"/>
        <w:adjustRightInd w:val="0"/>
        <w:snapToGrid w:val="0"/>
        <w:spacing w:before="156" w:after="156" w:line="400" w:lineRule="exact"/>
        <w:contextualSpacing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1 表格的构成及设计要求</w:t>
      </w:r>
    </w:p>
    <w:p>
      <w:pPr>
        <w:pStyle w:val="a0"/>
        <w:numPr>
          <w:ilvl w:val="0"/>
          <w:numId w:val="0"/>
        </w:numPr>
        <w:overflowPunct w:val="0"/>
        <w:autoSpaceDE w:val="0"/>
        <w:autoSpaceDN w:val="0"/>
        <w:adjustRightInd w:val="0"/>
        <w:snapToGrid w:val="0"/>
        <w:spacing w:before="156" w:after="156" w:line="400" w:lineRule="exact"/>
        <w:contextualSpacing/>
        <w:rPr>
          <w:b/>
          <w:bCs/>
        </w:rPr>
      </w:pPr>
      <w:r>
        <w:rPr>
          <w:rFonts w:hint="eastAsia"/>
          <w:b/>
          <w:bCs/>
        </w:rPr>
        <w:t>1.1 表格的构成</w:t>
      </w:r>
    </w:p>
    <w:p>
      <w:pPr>
        <w:pStyle w:val="a0"/>
        <w:numPr>
          <w:ilvl w:val="0"/>
          <w:numId w:val="0"/>
        </w:numPr>
        <w:overflowPunct w:val="0"/>
        <w:autoSpaceDE w:val="0"/>
        <w:autoSpaceDN w:val="0"/>
        <w:adjustRightInd w:val="0"/>
        <w:snapToGrid w:val="0"/>
        <w:spacing w:before="156" w:after="156" w:line="400" w:lineRule="exact"/>
        <w:ind w:firstLineChars="200" w:firstLine="420"/>
        <w:contextualSpacing/>
        <w:rPr>
          <w:rFonts w:ascii="宋体" w:eastAsia="宋体" w:hAnsi="宋体"/>
          <w:bCs/>
          <w:color w:val="000000" w:themeColor="text1"/>
        </w:rPr>
      </w:pPr>
      <w:r>
        <w:rPr>
          <w:rFonts w:ascii="宋体" w:eastAsia="宋体" w:hAnsi="宋体" w:hint="eastAsia"/>
          <w:bCs/>
          <w:color w:val="000000" w:themeColor="text1"/>
        </w:rPr>
        <w:t>表格由表序、表题、项目栏、表身、表注等要素组成。项目栏和表身构成表格的主体，一般包含行和栏。</w:t>
      </w:r>
      <w:r>
        <w:rPr>
          <w:rFonts w:ascii="宋体" w:eastAsia="宋体" w:hAnsi="宋体"/>
          <w:bCs/>
          <w:color w:val="000000" w:themeColor="text1"/>
        </w:rPr>
        <w:t>表线包括顶线、底线和</w:t>
      </w:r>
      <w:r>
        <w:rPr>
          <w:rFonts w:ascii="宋体" w:eastAsia="宋体" w:hAnsi="宋体" w:hint="eastAsia"/>
          <w:bCs/>
          <w:color w:val="000000" w:themeColor="text1"/>
        </w:rPr>
        <w:t>栏目</w:t>
      </w:r>
      <w:r>
        <w:rPr>
          <w:rFonts w:ascii="宋体" w:eastAsia="宋体" w:hAnsi="宋体"/>
          <w:bCs/>
          <w:color w:val="000000" w:themeColor="text1"/>
        </w:rPr>
        <w:t>线</w:t>
      </w:r>
      <w:r>
        <w:rPr>
          <w:rFonts w:ascii="宋体" w:eastAsia="宋体" w:hAnsi="宋体" w:hint="eastAsia"/>
          <w:bCs/>
          <w:color w:val="000000" w:themeColor="text1"/>
        </w:rPr>
        <w:t>，亦称为</w:t>
      </w:r>
      <w:r>
        <w:rPr>
          <w:rFonts w:ascii="宋体" w:eastAsia="宋体" w:hAnsi="宋体" w:hint="eastAsia"/>
          <w:color w:val="000000" w:themeColor="text1"/>
        </w:rPr>
        <w:t>三线表。</w:t>
      </w:r>
      <w:r>
        <w:rPr>
          <w:rFonts w:ascii="宋体" w:eastAsia="宋体" w:hAnsi="宋体" w:hint="eastAsia"/>
          <w:bCs/>
          <w:color w:val="000000" w:themeColor="text1"/>
        </w:rPr>
        <w:t>表格可根据需要做成半栏表（尺寸为8 cm左右）或通栏表（尺寸为16 cm左右）。建议顶线和底线</w:t>
      </w:r>
      <w:r>
        <w:rPr>
          <w:rFonts w:ascii="宋体" w:eastAsia="宋体" w:hAnsi="宋体"/>
          <w:color w:val="000000" w:themeColor="text1"/>
        </w:rPr>
        <w:t>为</w:t>
      </w:r>
      <w:smartTag w:uri="urn:schemas-microsoft-com:office:smarttags" w:element="chmetcnv">
        <w:smartTagPr>
          <w:attr w:name="UnitName" w:val="磅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宋体" w:eastAsia="宋体" w:hAnsi="宋体"/>
            <w:color w:val="000000" w:themeColor="text1"/>
          </w:rPr>
          <w:t>1磅</w:t>
        </w:r>
      </w:smartTag>
      <w:r>
        <w:rPr>
          <w:rFonts w:ascii="宋体" w:eastAsia="宋体" w:hAnsi="宋体"/>
          <w:color w:val="000000" w:themeColor="text1"/>
        </w:rPr>
        <w:t>，</w:t>
      </w:r>
      <w:r>
        <w:rPr>
          <w:rFonts w:ascii="宋体" w:eastAsia="宋体" w:hAnsi="宋体" w:hint="eastAsia"/>
          <w:color w:val="000000" w:themeColor="text1"/>
        </w:rPr>
        <w:t>栏目</w:t>
      </w:r>
      <w:r>
        <w:rPr>
          <w:rFonts w:ascii="宋体" w:eastAsia="宋体" w:hAnsi="宋体"/>
          <w:color w:val="000000" w:themeColor="text1"/>
        </w:rPr>
        <w:t>线为</w:t>
      </w:r>
      <w:smartTag w:uri="urn:schemas-microsoft-com:office:smarttags" w:element="chmetcnv">
        <w:smartTagPr>
          <w:attr w:name="UnitName" w:val="磅"/>
          <w:attr w:name="SourceValue" w:val=".5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宋体" w:eastAsia="宋体" w:hAnsi="宋体"/>
            <w:color w:val="000000" w:themeColor="text1"/>
          </w:rPr>
          <w:t>0.5磅</w:t>
        </w:r>
      </w:smartTag>
      <w:r>
        <w:rPr>
          <w:rFonts w:ascii="宋体" w:eastAsia="宋体" w:hAnsi="宋体"/>
          <w:color w:val="000000" w:themeColor="text1"/>
        </w:rPr>
        <w:t>，表中文字为</w:t>
      </w:r>
      <w:r>
        <w:rPr>
          <w:rFonts w:ascii="宋体" w:eastAsia="宋体" w:hAnsi="宋体" w:hint="eastAsia"/>
          <w:color w:val="000000" w:themeColor="text1"/>
        </w:rPr>
        <w:t>6</w:t>
      </w:r>
      <w:r>
        <w:rPr>
          <w:rFonts w:ascii="宋体" w:eastAsia="宋体" w:hAnsi="宋体"/>
          <w:color w:val="000000" w:themeColor="text1"/>
        </w:rPr>
        <w:t>号宋体。</w:t>
      </w:r>
      <w:r>
        <w:rPr>
          <w:rFonts w:ascii="宋体" w:eastAsia="宋体" w:hAnsi="宋体" w:hint="eastAsia"/>
          <w:color w:val="000000" w:themeColor="text1"/>
        </w:rPr>
        <w:t>表的栏目使用“量/单位”的标准化形式。注意：1）表中应使用</w:t>
      </w:r>
      <w:r>
        <w:rPr>
          <w:rFonts w:ascii="宋体" w:eastAsia="宋体" w:hAnsi="宋体"/>
          <w:color w:val="000000" w:themeColor="text1"/>
        </w:rPr>
        <w:t>国际标准单位</w:t>
      </w:r>
      <w:r>
        <w:rPr>
          <w:rFonts w:ascii="宋体" w:eastAsia="宋体" w:hAnsi="宋体" w:hint="eastAsia"/>
          <w:color w:val="000000" w:themeColor="text1"/>
        </w:rPr>
        <w:t>；2）表中各栏的栏头应是概括对应栏的内容，不是行的内容。如表1中“样品”对应“</w:t>
      </w:r>
      <w:r>
        <w:rPr>
          <w:rFonts w:ascii="宋体" w:eastAsia="宋体" w:hAnsi="宋体"/>
          <w:color w:val="000000" w:themeColor="text1"/>
        </w:rPr>
        <w:t>MCM-41</w:t>
      </w:r>
      <w:r>
        <w:rPr>
          <w:rFonts w:ascii="宋体" w:eastAsia="宋体" w:hAnsi="宋体" w:hint="eastAsia"/>
          <w:color w:val="000000" w:themeColor="text1"/>
        </w:rPr>
        <w:t>”“</w:t>
      </w:r>
      <w:r>
        <w:rPr>
          <w:rFonts w:ascii="宋体" w:eastAsia="宋体" w:hAnsi="宋体"/>
          <w:color w:val="000000" w:themeColor="text1"/>
        </w:rPr>
        <w:t>QA-MCM-41</w:t>
      </w:r>
      <w:r>
        <w:rPr>
          <w:rFonts w:ascii="宋体" w:eastAsia="宋体" w:hAnsi="宋体" w:hint="eastAsia"/>
          <w:color w:val="000000" w:themeColor="text1"/>
        </w:rPr>
        <w:t>”，而不能对应“</w:t>
      </w:r>
      <w:r>
        <w:rPr>
          <w:rFonts w:ascii="宋体" w:eastAsia="宋体" w:hAnsi="宋体"/>
          <w:color w:val="000000" w:themeColor="text1"/>
        </w:rPr>
        <w:t>比表面积</w:t>
      </w:r>
      <w:r>
        <w:rPr>
          <w:rFonts w:ascii="宋体" w:eastAsia="宋体" w:hAnsi="宋体" w:hint="eastAsia"/>
          <w:color w:val="000000" w:themeColor="text1"/>
        </w:rPr>
        <w:t>”“</w:t>
      </w:r>
      <w:r>
        <w:rPr>
          <w:rFonts w:ascii="宋体" w:eastAsia="宋体" w:hAnsi="宋体"/>
          <w:color w:val="000000" w:themeColor="text1"/>
        </w:rPr>
        <w:t>总孔容</w:t>
      </w:r>
      <w:r>
        <w:rPr>
          <w:rFonts w:ascii="宋体" w:eastAsia="宋体" w:hAnsi="宋体" w:hint="eastAsia"/>
          <w:color w:val="000000" w:themeColor="text1"/>
        </w:rPr>
        <w:t>”等。</w:t>
      </w:r>
    </w:p>
    <w:p>
      <w:pPr>
        <w:adjustRightInd w:val="0"/>
        <w:snapToGrid w:val="0"/>
        <w:spacing w:afterLines="50" w:line="360" w:lineRule="auto"/>
        <w:ind w:firstLineChars="100" w:firstLine="180"/>
        <w:jc w:val="left"/>
        <w:rPr>
          <w:rFonts w:ascii="黑体" w:eastAsia="黑体" w:hAnsi="黑体"/>
          <w:bCs/>
          <w:sz w:val="18"/>
          <w:szCs w:val="21"/>
        </w:rPr>
      </w:pPr>
    </w:p>
    <w:p>
      <w:pPr>
        <w:adjustRightInd w:val="0"/>
        <w:snapToGrid w:val="0"/>
        <w:spacing w:afterLines="50" w:line="360" w:lineRule="auto"/>
        <w:ind w:firstLineChars="100" w:firstLine="180"/>
        <w:jc w:val="left"/>
        <w:rPr>
          <w:rFonts w:ascii="黑体" w:eastAsia="黑体" w:hAnsi="黑体"/>
          <w:bCs/>
          <w:sz w:val="18"/>
          <w:szCs w:val="21"/>
        </w:rPr>
      </w:pPr>
      <w:r>
        <w:rPr>
          <w:rFonts w:ascii="黑体" w:eastAsia="黑体" w:hAnsi="黑体"/>
          <w:bCs/>
          <w:noProof/>
          <w:sz w:val="18"/>
          <w:szCs w:val="21"/>
        </w:rPr>
        <w:drawing>
          <wp:inline distT="0" distB="0" distL="0" distR="0">
            <wp:extent cx="4207893" cy="1785668"/>
            <wp:effectExtent l="19050" t="0" r="2157" b="0"/>
            <wp:docPr id="2" name="图片 1" descr="t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19" name="Picture 4" descr="t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21" cy="1786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表</w:t>
      </w:r>
      <w:r>
        <w:rPr>
          <w:b/>
          <w:sz w:val="18"/>
          <w:szCs w:val="18"/>
        </w:rPr>
        <w:t xml:space="preserve">1 </w:t>
      </w:r>
      <w:r>
        <w:rPr>
          <w:rFonts w:hint="eastAsia"/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MCM-41 </w:t>
      </w:r>
      <w:r>
        <w:rPr>
          <w:b/>
          <w:sz w:val="18"/>
          <w:szCs w:val="18"/>
        </w:rPr>
        <w:t>和</w:t>
      </w:r>
      <w:r>
        <w:rPr>
          <w:b/>
          <w:sz w:val="18"/>
          <w:szCs w:val="18"/>
        </w:rPr>
        <w:t xml:space="preserve"> QA-MCM-41</w:t>
      </w:r>
      <w:r>
        <w:rPr>
          <w:b/>
          <w:sz w:val="18"/>
          <w:szCs w:val="18"/>
        </w:rPr>
        <w:t>样品结构性能</w:t>
      </w:r>
    </w:p>
    <w:p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Table 1</w:t>
      </w:r>
      <w:r>
        <w:rPr>
          <w:rFonts w:hint="eastAsia"/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Structure characteristics of MCM-41 and QA-MCM-41</w:t>
      </w:r>
    </w:p>
    <w:tbl>
      <w:tblPr>
        <w:tblW w:w="0" w:type="auto"/>
        <w:tblBorders>
          <w:top w:val="single" w:sz="4" w:space="0" w:color="auto"/>
        </w:tblBorders>
        <w:tblLook w:val="04A0"/>
      </w:tblPr>
      <w:tblGrid>
        <w:gridCol w:w="2130"/>
        <w:gridCol w:w="2130"/>
        <w:gridCol w:w="2131"/>
        <w:gridCol w:w="2131"/>
      </w:tblGrid>
      <w:tr>
        <w:tc>
          <w:tcPr>
            <w:tcW w:w="213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样品</w:t>
            </w:r>
          </w:p>
        </w:tc>
        <w:tc>
          <w:tcPr>
            <w:tcW w:w="213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比表面积</w:t>
            </w:r>
            <w:r>
              <w:rPr>
                <w:sz w:val="15"/>
                <w:szCs w:val="15"/>
              </w:rPr>
              <w:t>/(m</w:t>
            </w:r>
            <w:r>
              <w:rPr>
                <w:sz w:val="15"/>
                <w:szCs w:val="15"/>
                <w:vertAlign w:val="superscript"/>
              </w:rPr>
              <w:t>2</w:t>
            </w:r>
            <w:r>
              <w:rPr>
                <w:sz w:val="15"/>
                <w:szCs w:val="15"/>
              </w:rPr>
              <w:t>·g</w:t>
            </w:r>
            <w:r>
              <w:rPr>
                <w:sz w:val="15"/>
                <w:szCs w:val="15"/>
                <w:vertAlign w:val="superscript"/>
              </w:rPr>
              <w:t>-1</w:t>
            </w:r>
            <w:r>
              <w:rPr>
                <w:sz w:val="15"/>
                <w:szCs w:val="15"/>
              </w:rPr>
              <w:t>)</w:t>
            </w:r>
          </w:p>
        </w:tc>
        <w:tc>
          <w:tcPr>
            <w:tcW w:w="213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>总孔容</w:t>
            </w:r>
            <w:r>
              <w:rPr>
                <w:sz w:val="15"/>
                <w:szCs w:val="15"/>
              </w:rPr>
              <w:t>/(cm</w:t>
            </w:r>
            <w:r>
              <w:rPr>
                <w:sz w:val="15"/>
                <w:szCs w:val="15"/>
                <w:vertAlign w:val="superscript"/>
              </w:rPr>
              <w:t>3</w:t>
            </w:r>
            <w:r>
              <w:rPr>
                <w:sz w:val="15"/>
                <w:szCs w:val="15"/>
              </w:rPr>
              <w:t>·g</w:t>
            </w:r>
            <w:r>
              <w:rPr>
                <w:sz w:val="15"/>
                <w:szCs w:val="15"/>
                <w:vertAlign w:val="superscript"/>
              </w:rPr>
              <w:t>-1</w:t>
            </w:r>
            <w:r>
              <w:rPr>
                <w:sz w:val="15"/>
                <w:szCs w:val="15"/>
              </w:rPr>
              <w:t>)</w:t>
            </w:r>
          </w:p>
        </w:tc>
        <w:tc>
          <w:tcPr>
            <w:tcW w:w="213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>平均孔径</w:t>
            </w:r>
            <w:r>
              <w:rPr>
                <w:sz w:val="15"/>
                <w:szCs w:val="15"/>
              </w:rPr>
              <w:t>/nm</w:t>
            </w:r>
          </w:p>
        </w:tc>
      </w:tr>
      <w:tr>
        <w:tc>
          <w:tcPr>
            <w:tcW w:w="213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MCM-41</w:t>
            </w:r>
          </w:p>
        </w:tc>
        <w:tc>
          <w:tcPr>
            <w:tcW w:w="213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119.51</w:t>
            </w:r>
          </w:p>
        </w:tc>
        <w:tc>
          <w:tcPr>
            <w:tcW w:w="213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>0.99</w:t>
            </w:r>
          </w:p>
        </w:tc>
        <w:tc>
          <w:tcPr>
            <w:tcW w:w="213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>3.5</w:t>
            </w:r>
          </w:p>
        </w:tc>
      </w:tr>
      <w:tr>
        <w:tc>
          <w:tcPr>
            <w:tcW w:w="2130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QA-MCM-41</w:t>
            </w:r>
          </w:p>
        </w:tc>
        <w:tc>
          <w:tcPr>
            <w:tcW w:w="2130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137.98</w:t>
            </w:r>
          </w:p>
        </w:tc>
        <w:tc>
          <w:tcPr>
            <w:tcW w:w="2131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>0.25</w:t>
            </w:r>
          </w:p>
        </w:tc>
        <w:tc>
          <w:tcPr>
            <w:tcW w:w="2131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15"/>
                <w:szCs w:val="15"/>
                <w:highlight w:val="yellow"/>
              </w:rPr>
            </w:pPr>
            <w:r>
              <w:rPr>
                <w:sz w:val="15"/>
                <w:szCs w:val="15"/>
              </w:rPr>
              <w:t>5.8</w:t>
            </w:r>
          </w:p>
        </w:tc>
      </w:tr>
    </w:tbl>
    <w:p>
      <w:pPr>
        <w:adjustRightInd w:val="0"/>
        <w:snapToGrid w:val="0"/>
        <w:spacing w:afterLines="50" w:line="360" w:lineRule="auto"/>
        <w:ind w:firstLineChars="100" w:firstLine="180"/>
        <w:jc w:val="left"/>
        <w:rPr>
          <w:rFonts w:ascii="黑体" w:eastAsia="黑体" w:hAnsi="黑体"/>
          <w:bCs/>
          <w:sz w:val="18"/>
          <w:szCs w:val="21"/>
        </w:rPr>
      </w:pPr>
    </w:p>
    <w:p>
      <w:pPr>
        <w:overflowPunct w:val="0"/>
        <w:autoSpaceDE w:val="0"/>
        <w:autoSpaceDN w:val="0"/>
        <w:spacing w:line="400" w:lineRule="exact"/>
        <w:rPr>
          <w:rFonts w:ascii="黑体" w:eastAsia="黑体" w:hAnsi="黑体"/>
          <w:b/>
          <w:color w:val="000000" w:themeColor="text1"/>
          <w:szCs w:val="21"/>
        </w:rPr>
      </w:pPr>
      <w:r>
        <w:rPr>
          <w:rFonts w:ascii="黑体" w:eastAsia="黑体" w:hAnsi="黑体" w:hint="eastAsia"/>
          <w:b/>
          <w:color w:val="000000" w:themeColor="text1"/>
          <w:szCs w:val="21"/>
        </w:rPr>
        <w:t>1.2 设计要求</w:t>
      </w:r>
    </w:p>
    <w:p>
      <w:pPr>
        <w:pStyle w:val="ad"/>
        <w:overflowPunct w:val="0"/>
        <w:spacing w:afterLines="50" w:line="400" w:lineRule="exact"/>
        <w:ind w:firstLineChars="0" w:firstLine="0"/>
        <w:outlineLvl w:val="2"/>
        <w:rPr>
          <w:rFonts w:ascii="黑体" w:eastAsia="黑体" w:hAnsi="黑体"/>
          <w:color w:val="000000" w:themeColor="text1"/>
        </w:rPr>
      </w:pPr>
      <w:r>
        <w:rPr>
          <w:rFonts w:ascii="黑体" w:eastAsia="黑体" w:hint="eastAsia"/>
          <w:color w:val="000000" w:themeColor="text1"/>
        </w:rPr>
        <w:t xml:space="preserve">1.2.1 </w:t>
      </w:r>
      <w:r>
        <w:rPr>
          <w:rFonts w:ascii="黑体" w:eastAsia="黑体"/>
          <w:color w:val="000000" w:themeColor="text1"/>
        </w:rPr>
        <w:t>表</w:t>
      </w:r>
      <w:r>
        <w:rPr>
          <w:rFonts w:ascii="黑体" w:eastAsia="黑体" w:hint="eastAsia"/>
          <w:color w:val="000000" w:themeColor="text1"/>
        </w:rPr>
        <w:t>序号</w:t>
      </w:r>
    </w:p>
    <w:p>
      <w:pPr>
        <w:overflowPunct w:val="0"/>
        <w:autoSpaceDE w:val="0"/>
        <w:autoSpaceDN w:val="0"/>
        <w:adjustRightInd w:val="0"/>
        <w:snapToGrid w:val="0"/>
        <w:spacing w:line="400" w:lineRule="exact"/>
        <w:ind w:firstLineChars="200" w:firstLine="420"/>
        <w:rPr>
          <w:rFonts w:ascii="宋体" w:hAnsi="宋体"/>
          <w:noProof/>
          <w:color w:val="000000" w:themeColor="text1"/>
          <w:kern w:val="0"/>
          <w:szCs w:val="20"/>
        </w:rPr>
      </w:pPr>
      <w:r>
        <w:rPr>
          <w:rFonts w:ascii="宋体" w:hAnsi="宋体" w:hint="eastAsia"/>
          <w:noProof/>
          <w:color w:val="000000" w:themeColor="text1"/>
          <w:kern w:val="0"/>
          <w:szCs w:val="20"/>
        </w:rPr>
        <w:t>表格应有表序号并应在文中明确提及。</w:t>
      </w:r>
      <w:r>
        <w:rPr>
          <w:rFonts w:ascii="宋体" w:hAnsi="宋体"/>
          <w:noProof/>
          <w:color w:val="000000" w:themeColor="text1"/>
          <w:kern w:val="0"/>
          <w:szCs w:val="20"/>
        </w:rPr>
        <w:t>表</w:t>
      </w:r>
      <w:r>
        <w:rPr>
          <w:rFonts w:ascii="宋体" w:hAnsi="宋体" w:hint="eastAsia"/>
          <w:noProof/>
          <w:color w:val="000000" w:themeColor="text1"/>
          <w:kern w:val="0"/>
          <w:szCs w:val="20"/>
        </w:rPr>
        <w:t>序号应统一依序编号，方式如“表1”“表2”。只有一个表格时仍应给出表序号，编号为“表1”。</w:t>
      </w:r>
    </w:p>
    <w:p>
      <w:pPr>
        <w:pStyle w:val="ad"/>
        <w:overflowPunct w:val="0"/>
        <w:spacing w:beforeLines="50" w:afterLines="50" w:line="400" w:lineRule="exact"/>
        <w:ind w:firstLineChars="0" w:firstLine="0"/>
        <w:jc w:val="left"/>
        <w:outlineLvl w:val="2"/>
        <w:rPr>
          <w:rFonts w:ascii="黑体" w:eastAsia="黑体" w:hAnsi="黑体"/>
          <w:color w:val="000000" w:themeColor="text1"/>
        </w:rPr>
      </w:pPr>
      <w:r>
        <w:rPr>
          <w:rFonts w:ascii="黑体" w:eastAsia="黑体" w:hint="eastAsia"/>
          <w:color w:val="000000" w:themeColor="text1"/>
        </w:rPr>
        <w:t xml:space="preserve">1.2.2 </w:t>
      </w:r>
      <w:r>
        <w:rPr>
          <w:rFonts w:ascii="黑体" w:eastAsia="黑体" w:hAnsi="黑体"/>
          <w:color w:val="000000" w:themeColor="text1"/>
        </w:rPr>
        <w:t>表题</w:t>
      </w:r>
    </w:p>
    <w:p>
      <w:pPr>
        <w:overflowPunct w:val="0"/>
        <w:autoSpaceDE w:val="0"/>
        <w:autoSpaceDN w:val="0"/>
        <w:adjustRightInd w:val="0"/>
        <w:snapToGrid w:val="0"/>
        <w:spacing w:line="400" w:lineRule="exact"/>
        <w:ind w:firstLineChars="200" w:firstLine="420"/>
        <w:rPr>
          <w:color w:val="000000" w:themeColor="text1"/>
          <w:szCs w:val="21"/>
        </w:rPr>
      </w:pPr>
      <w:r>
        <w:rPr>
          <w:rFonts w:ascii="宋体" w:hAnsi="宋体" w:hint="eastAsia"/>
          <w:noProof/>
          <w:color w:val="000000" w:themeColor="text1"/>
          <w:kern w:val="0"/>
          <w:szCs w:val="20"/>
        </w:rPr>
        <w:t>表格应有表题。</w:t>
      </w:r>
      <w:r>
        <w:rPr>
          <w:rFonts w:hint="eastAsia"/>
          <w:color w:val="000000" w:themeColor="text1"/>
          <w:szCs w:val="21"/>
        </w:rPr>
        <w:t>表题应</w:t>
      </w:r>
      <w:r>
        <w:rPr>
          <w:rFonts w:hint="eastAsia"/>
          <w:bCs/>
          <w:color w:val="000000" w:themeColor="text1"/>
          <w:szCs w:val="21"/>
        </w:rPr>
        <w:t>准确、</w:t>
      </w:r>
      <w:r>
        <w:rPr>
          <w:rFonts w:hint="eastAsia"/>
          <w:bCs/>
          <w:color w:val="000000" w:themeColor="text1"/>
          <w:kern w:val="0"/>
          <w:szCs w:val="21"/>
        </w:rPr>
        <w:t>简明地</w:t>
      </w:r>
      <w:r>
        <w:rPr>
          <w:rFonts w:hint="eastAsia"/>
          <w:bCs/>
          <w:color w:val="000000" w:themeColor="text1"/>
          <w:szCs w:val="21"/>
        </w:rPr>
        <w:t>反映表格内容</w:t>
      </w:r>
      <w:r>
        <w:rPr>
          <w:rFonts w:hint="eastAsia"/>
          <w:color w:val="000000" w:themeColor="text1"/>
          <w:szCs w:val="21"/>
        </w:rPr>
        <w:t>。</w:t>
      </w:r>
    </w:p>
    <w:p>
      <w:pPr>
        <w:pStyle w:val="ad"/>
        <w:overflowPunct w:val="0"/>
        <w:spacing w:beforeLines="50" w:afterLines="50" w:line="400" w:lineRule="exact"/>
        <w:ind w:firstLineChars="0" w:firstLine="0"/>
        <w:jc w:val="left"/>
        <w:outlineLvl w:val="2"/>
        <w:rPr>
          <w:rFonts w:ascii="黑体" w:eastAsia="黑体" w:hAnsi="黑体"/>
          <w:color w:val="000000" w:themeColor="text1"/>
        </w:rPr>
      </w:pPr>
      <w:r>
        <w:rPr>
          <w:rFonts w:ascii="黑体" w:eastAsia="黑体" w:hint="eastAsia"/>
          <w:color w:val="000000" w:themeColor="text1"/>
        </w:rPr>
        <w:lastRenderedPageBreak/>
        <w:t xml:space="preserve">1.2.3 </w:t>
      </w:r>
      <w:r>
        <w:rPr>
          <w:rFonts w:ascii="黑体" w:eastAsia="黑体" w:hAnsi="黑体" w:hint="eastAsia"/>
          <w:color w:val="000000" w:themeColor="text1"/>
        </w:rPr>
        <w:t>项目栏</w:t>
      </w:r>
    </w:p>
    <w:p>
      <w:pPr>
        <w:overflowPunct w:val="0"/>
        <w:autoSpaceDE w:val="0"/>
        <w:autoSpaceDN w:val="0"/>
        <w:adjustRightInd w:val="0"/>
        <w:snapToGrid w:val="0"/>
        <w:spacing w:afterLines="50" w:line="400" w:lineRule="exact"/>
        <w:ind w:firstLineChars="200" w:firstLine="420"/>
        <w:jc w:val="left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应准确、简洁。不应使用斜线。涉及的</w:t>
      </w:r>
      <w:r>
        <w:rPr>
          <w:bCs/>
          <w:color w:val="000000" w:themeColor="text1"/>
          <w:szCs w:val="21"/>
        </w:rPr>
        <w:t>单位全部相同时，</w:t>
      </w:r>
      <w:r>
        <w:rPr>
          <w:rFonts w:hint="eastAsia"/>
          <w:bCs/>
          <w:color w:val="000000" w:themeColor="text1"/>
          <w:szCs w:val="21"/>
        </w:rPr>
        <w:t>应在表的右上方统一标注。</w:t>
      </w:r>
      <w:r>
        <w:rPr>
          <w:rFonts w:hint="eastAsia"/>
          <w:color w:val="000000" w:themeColor="text1"/>
        </w:rPr>
        <w:t>可分层断开。</w:t>
      </w:r>
    </w:p>
    <w:p>
      <w:pPr>
        <w:overflowPunct w:val="0"/>
        <w:autoSpaceDE w:val="0"/>
        <w:autoSpaceDN w:val="0"/>
        <w:adjustRightInd w:val="0"/>
        <w:snapToGrid w:val="0"/>
        <w:spacing w:line="400" w:lineRule="exact"/>
        <w:jc w:val="left"/>
        <w:outlineLvl w:val="2"/>
        <w:rPr>
          <w:color w:val="000000" w:themeColor="text1"/>
          <w:szCs w:val="21"/>
        </w:rPr>
      </w:pPr>
      <w:r>
        <w:rPr>
          <w:rFonts w:ascii="黑体" w:eastAsia="黑体" w:hint="eastAsia"/>
          <w:color w:val="000000" w:themeColor="text1"/>
        </w:rPr>
        <w:t xml:space="preserve">1.2.4 </w:t>
      </w:r>
      <w:r>
        <w:rPr>
          <w:rFonts w:ascii="黑体" w:eastAsia="黑体" w:hAnsi="黑体"/>
          <w:color w:val="000000" w:themeColor="text1"/>
        </w:rPr>
        <w:t>表身</w:t>
      </w:r>
    </w:p>
    <w:p>
      <w:pPr>
        <w:widowControl/>
        <w:overflowPunct w:val="0"/>
        <w:autoSpaceDE w:val="0"/>
        <w:autoSpaceDN w:val="0"/>
        <w:spacing w:line="400" w:lineRule="exact"/>
        <w:ind w:firstLineChars="200" w:firstLine="420"/>
        <w:rPr>
          <w:rFonts w:ascii="宋体"/>
          <w:color w:val="000000" w:themeColor="text1"/>
          <w:kern w:val="0"/>
          <w:szCs w:val="20"/>
        </w:rPr>
      </w:pPr>
      <w:r>
        <w:rPr>
          <w:rFonts w:ascii="宋体" w:hAnsi="宋体" w:hint="eastAsia"/>
          <w:bCs/>
          <w:color w:val="000000" w:themeColor="text1"/>
          <w:szCs w:val="21"/>
        </w:rPr>
        <w:t>表身内的数值不宜带单位（非十进制单位如平面角单位（°</w:t>
      </w:r>
      <w:r>
        <w:rPr>
          <w:rFonts w:ascii="宋体" w:hAnsi="宋体"/>
          <w:bCs/>
          <w:color w:val="000000" w:themeColor="text1"/>
          <w:szCs w:val="21"/>
        </w:rPr>
        <w:t>）</w:t>
      </w:r>
      <w:r>
        <w:rPr>
          <w:rFonts w:ascii="宋体" w:hAnsi="宋体" w:hint="eastAsia"/>
          <w:bCs/>
          <w:color w:val="000000" w:themeColor="text1"/>
          <w:szCs w:val="21"/>
        </w:rPr>
        <w:t>（′）（″）和时间单位“</w:t>
      </w:r>
      <w:r>
        <w:rPr>
          <w:rFonts w:ascii="宋体" w:hAnsi="宋体" w:hint="eastAsia"/>
          <w:bCs/>
          <w:color w:val="000000" w:themeColor="text1"/>
          <w:szCs w:val="21"/>
        </w:rPr>
        <w:sym w:font="Wingdings 2" w:char="F04F"/>
      </w:r>
      <w:r>
        <w:rPr>
          <w:rFonts w:ascii="宋体" w:hAnsi="宋体" w:hint="eastAsia"/>
          <w:bCs/>
          <w:color w:val="000000" w:themeColor="text1"/>
          <w:szCs w:val="21"/>
        </w:rPr>
        <w:t>h</w:t>
      </w:r>
      <w:r>
        <w:rPr>
          <w:rFonts w:ascii="宋体" w:hAnsi="宋体" w:hint="eastAsia"/>
          <w:bCs/>
          <w:color w:val="000000" w:themeColor="text1"/>
          <w:szCs w:val="21"/>
        </w:rPr>
        <w:sym w:font="Wingdings 2" w:char="F04F"/>
      </w:r>
      <w:r>
        <w:rPr>
          <w:rFonts w:ascii="宋体" w:hAnsi="宋体" w:hint="eastAsia"/>
          <w:bCs/>
          <w:color w:val="000000" w:themeColor="text1"/>
          <w:szCs w:val="21"/>
        </w:rPr>
        <w:t>min</w:t>
      </w:r>
      <w:r>
        <w:rPr>
          <w:rFonts w:ascii="宋体" w:hAnsi="宋体" w:hint="eastAsia"/>
          <w:bCs/>
          <w:color w:val="000000" w:themeColor="text1"/>
          <w:szCs w:val="21"/>
        </w:rPr>
        <w:sym w:font="Wingdings 2" w:char="F04F"/>
      </w:r>
      <w:r>
        <w:rPr>
          <w:rFonts w:ascii="宋体" w:hAnsi="宋体" w:hint="eastAsia"/>
          <w:bCs/>
          <w:color w:val="000000" w:themeColor="text1"/>
          <w:szCs w:val="21"/>
        </w:rPr>
        <w:t>s”除外）。</w:t>
      </w:r>
      <w:r>
        <w:rPr>
          <w:rFonts w:ascii="黑体" w:eastAsia="黑体" w:hAnsi="黑体"/>
          <w:bCs/>
          <w:color w:val="000000" w:themeColor="text1"/>
          <w:szCs w:val="21"/>
        </w:rPr>
        <w:t xml:space="preserve"> </w:t>
      </w:r>
      <w:r>
        <w:rPr>
          <w:rFonts w:ascii="宋体" w:hint="eastAsia"/>
          <w:color w:val="000000" w:themeColor="text1"/>
          <w:kern w:val="0"/>
          <w:szCs w:val="20"/>
        </w:rPr>
        <w:t>数值修约应符合GB 8170的规定。表身中</w:t>
      </w:r>
      <w:r>
        <w:rPr>
          <w:rFonts w:ascii="宋体" w:hAnsi="宋体" w:hint="eastAsia"/>
          <w:bCs/>
          <w:color w:val="000000" w:themeColor="text1"/>
          <w:szCs w:val="21"/>
        </w:rPr>
        <w:t>同一量的数值的修约应一致</w:t>
      </w:r>
      <w:r>
        <w:rPr>
          <w:rFonts w:ascii="宋体" w:hint="eastAsia"/>
          <w:color w:val="000000" w:themeColor="text1"/>
          <w:kern w:val="0"/>
          <w:szCs w:val="20"/>
        </w:rPr>
        <w:t>。</w:t>
      </w:r>
      <w:r>
        <w:rPr>
          <w:rFonts w:hint="eastAsia"/>
          <w:bCs/>
          <w:color w:val="000000" w:themeColor="text1"/>
          <w:szCs w:val="21"/>
        </w:rPr>
        <w:t>上下左右的相邻单元格内的文字或符号相同时既可分别写出，亦可采用共用单元格的方式处理。建议上下左右的相邻单元格内数字分别写出。</w:t>
      </w:r>
      <w:r>
        <w:rPr>
          <w:rFonts w:ascii="黑体" w:eastAsia="黑体" w:hAnsi="黑体"/>
          <w:bCs/>
          <w:color w:val="000000" w:themeColor="text1"/>
          <w:szCs w:val="21"/>
        </w:rPr>
        <w:t xml:space="preserve"> </w:t>
      </w:r>
      <w:r>
        <w:rPr>
          <w:rFonts w:ascii="宋体" w:hAnsi="宋体" w:hint="eastAsia"/>
          <w:bCs/>
          <w:color w:val="000000" w:themeColor="text1"/>
          <w:szCs w:val="21"/>
        </w:rPr>
        <w:t>表身中</w:t>
      </w:r>
      <w:r>
        <w:rPr>
          <w:rFonts w:ascii="宋体" w:hint="eastAsia"/>
          <w:color w:val="000000" w:themeColor="text1"/>
          <w:kern w:val="0"/>
          <w:szCs w:val="20"/>
        </w:rPr>
        <w:t>数据不适用时可保留空白；数据无法获得时可用一字线“—”填充。表身中</w:t>
      </w:r>
      <w:r>
        <w:rPr>
          <w:rFonts w:ascii="宋体" w:hint="eastAsia"/>
          <w:noProof/>
          <w:color w:val="000000" w:themeColor="text1"/>
          <w:kern w:val="0"/>
          <w:szCs w:val="20"/>
        </w:rPr>
        <w:t>一个单元格内包含2个数据，其中1个数据应用括号括起，同时需要在表题或表头中标注，或在表注中说明。</w:t>
      </w:r>
    </w:p>
    <w:p>
      <w:pPr>
        <w:overflowPunct w:val="0"/>
        <w:autoSpaceDE w:val="0"/>
        <w:autoSpaceDN w:val="0"/>
        <w:adjustRightInd w:val="0"/>
        <w:snapToGrid w:val="0"/>
        <w:spacing w:line="400" w:lineRule="exact"/>
        <w:jc w:val="left"/>
        <w:outlineLvl w:val="2"/>
        <w:rPr>
          <w:rFonts w:ascii="黑体" w:eastAsia="黑体" w:hAnsi="黑体"/>
          <w:color w:val="000000" w:themeColor="text1"/>
        </w:rPr>
      </w:pPr>
      <w:r>
        <w:rPr>
          <w:rFonts w:ascii="黑体" w:eastAsia="黑体" w:hint="eastAsia"/>
          <w:color w:val="000000" w:themeColor="text1"/>
        </w:rPr>
        <w:t>1.2.5</w:t>
      </w:r>
      <w:r>
        <w:rPr>
          <w:rFonts w:ascii="黑体" w:eastAsia="黑体" w:hAnsi="黑体" w:hint="eastAsia"/>
          <w:bCs/>
          <w:color w:val="000000" w:themeColor="text1"/>
          <w:szCs w:val="21"/>
        </w:rPr>
        <w:t xml:space="preserve"> </w:t>
      </w:r>
      <w:r>
        <w:rPr>
          <w:rFonts w:ascii="黑体" w:eastAsia="黑体" w:hAnsi="黑体"/>
          <w:color w:val="000000" w:themeColor="text1"/>
        </w:rPr>
        <w:t>表注</w:t>
      </w:r>
    </w:p>
    <w:p>
      <w:pPr>
        <w:overflowPunct w:val="0"/>
        <w:autoSpaceDE w:val="0"/>
        <w:autoSpaceDN w:val="0"/>
        <w:adjustRightInd w:val="0"/>
        <w:snapToGrid w:val="0"/>
        <w:spacing w:line="400" w:lineRule="exact"/>
        <w:ind w:firstLineChars="200" w:firstLine="420"/>
        <w:rPr>
          <w:rFonts w:hAnsi="宋体"/>
          <w:bCs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全表注应以“注：”引出。</w:t>
      </w:r>
      <w:r>
        <w:rPr>
          <w:color w:val="000000" w:themeColor="text1"/>
          <w:szCs w:val="21"/>
        </w:rPr>
        <w:t>表格具体内容注</w:t>
      </w:r>
      <w:r>
        <w:rPr>
          <w:rFonts w:hint="eastAsia"/>
          <w:color w:val="000000" w:themeColor="text1"/>
          <w:szCs w:val="21"/>
        </w:rPr>
        <w:t>应以注码引出，且应与表格内相对应的注码一致。</w:t>
      </w:r>
    </w:p>
    <w:p>
      <w:pPr>
        <w:overflowPunct w:val="0"/>
        <w:autoSpaceDE w:val="0"/>
        <w:autoSpaceDN w:val="0"/>
        <w:adjustRightInd w:val="0"/>
        <w:snapToGrid w:val="0"/>
        <w:spacing w:line="400" w:lineRule="exact"/>
        <w:contextualSpacing/>
        <w:rPr>
          <w:rFonts w:ascii="宋体" w:hAnsi="宋体"/>
          <w:b/>
          <w:color w:val="000000" w:themeColor="text1"/>
          <w:sz w:val="28"/>
          <w:szCs w:val="28"/>
        </w:rPr>
      </w:pPr>
      <w:r>
        <w:rPr>
          <w:rFonts w:ascii="宋体" w:hAnsi="宋体" w:hint="eastAsia"/>
          <w:b/>
          <w:bCs/>
          <w:color w:val="000000" w:themeColor="text1"/>
          <w:sz w:val="28"/>
          <w:szCs w:val="28"/>
        </w:rPr>
        <w:t xml:space="preserve">2 </w:t>
      </w:r>
      <w:r>
        <w:rPr>
          <w:rFonts w:ascii="宋体" w:hAnsi="宋体" w:hint="eastAsia"/>
          <w:b/>
          <w:color w:val="000000" w:themeColor="text1"/>
          <w:sz w:val="28"/>
          <w:szCs w:val="28"/>
        </w:rPr>
        <w:t>表格的内容要求</w:t>
      </w:r>
    </w:p>
    <w:p>
      <w:pPr>
        <w:widowControl/>
        <w:overflowPunct w:val="0"/>
        <w:autoSpaceDE w:val="0"/>
        <w:autoSpaceDN w:val="0"/>
        <w:adjustRightInd w:val="0"/>
        <w:snapToGrid w:val="0"/>
        <w:spacing w:beforeLines="100" w:afterLines="100" w:line="400" w:lineRule="exact"/>
        <w:ind w:firstLineChars="200" w:firstLine="420"/>
        <w:contextualSpacing/>
        <w:outlineLvl w:val="1"/>
        <w:rPr>
          <w:bCs/>
          <w:color w:val="000000" w:themeColor="text1"/>
        </w:rPr>
      </w:pPr>
      <w:r>
        <w:rPr>
          <w:rFonts w:ascii="宋体" w:hint="eastAsia"/>
          <w:bCs/>
          <w:color w:val="000000" w:themeColor="text1"/>
          <w:kern w:val="0"/>
          <w:szCs w:val="21"/>
        </w:rPr>
        <w:t>表格内容</w:t>
      </w:r>
      <w:r>
        <w:rPr>
          <w:rFonts w:ascii="宋体"/>
          <w:bCs/>
          <w:color w:val="000000" w:themeColor="text1"/>
          <w:kern w:val="0"/>
          <w:szCs w:val="21"/>
        </w:rPr>
        <w:t>应</w:t>
      </w:r>
      <w:r>
        <w:rPr>
          <w:rFonts w:hint="eastAsia"/>
          <w:color w:val="000000" w:themeColor="text1"/>
        </w:rPr>
        <w:t>与正文有直接关联，</w:t>
      </w:r>
      <w:r>
        <w:rPr>
          <w:rFonts w:ascii="宋体" w:hAnsi="宋体" w:hint="eastAsia"/>
          <w:bCs/>
          <w:color w:val="000000" w:themeColor="text1"/>
          <w:szCs w:val="21"/>
        </w:rPr>
        <w:t>表格</w:t>
      </w:r>
      <w:r>
        <w:rPr>
          <w:rFonts w:ascii="宋体" w:hint="eastAsia"/>
          <w:bCs/>
          <w:color w:val="000000" w:themeColor="text1"/>
          <w:kern w:val="0"/>
          <w:szCs w:val="21"/>
        </w:rPr>
        <w:t>应</w:t>
      </w:r>
      <w:r>
        <w:rPr>
          <w:rFonts w:ascii="宋体"/>
          <w:bCs/>
          <w:color w:val="000000" w:themeColor="text1"/>
          <w:kern w:val="0"/>
          <w:szCs w:val="21"/>
        </w:rPr>
        <w:t>有自明性和可读性</w:t>
      </w:r>
      <w:r>
        <w:rPr>
          <w:rFonts w:ascii="宋体" w:hint="eastAsia"/>
          <w:bCs/>
          <w:color w:val="000000" w:themeColor="text1"/>
          <w:kern w:val="0"/>
          <w:szCs w:val="21"/>
        </w:rPr>
        <w:t>，</w:t>
      </w:r>
      <w:r>
        <w:rPr>
          <w:rFonts w:hAnsi="宋体" w:hint="eastAsia"/>
          <w:bCs/>
          <w:color w:val="000000" w:themeColor="text1"/>
        </w:rPr>
        <w:t>表格中的数据应准确无误，表格中的量和单位的名称、符号及书写规则应符合</w:t>
      </w:r>
      <w:r>
        <w:rPr>
          <w:rFonts w:hAnsi="宋体" w:hint="eastAsia"/>
          <w:bCs/>
          <w:color w:val="000000" w:themeColor="text1"/>
        </w:rPr>
        <w:t>GB</w:t>
      </w:r>
      <w:r>
        <w:rPr>
          <w:rFonts w:hAnsi="宋体"/>
          <w:bCs/>
          <w:color w:val="000000" w:themeColor="text1"/>
        </w:rPr>
        <w:t xml:space="preserve"> 3100</w:t>
      </w:r>
      <w:r>
        <w:rPr>
          <w:rFonts w:hAnsi="宋体"/>
          <w:bCs/>
          <w:color w:val="000000" w:themeColor="text1"/>
        </w:rPr>
        <w:t>、</w:t>
      </w:r>
      <w:r>
        <w:rPr>
          <w:rFonts w:hAnsi="宋体" w:hint="eastAsia"/>
          <w:bCs/>
          <w:color w:val="000000" w:themeColor="text1"/>
        </w:rPr>
        <w:t>GB</w:t>
      </w:r>
      <w:r>
        <w:rPr>
          <w:rFonts w:hAnsi="宋体"/>
          <w:bCs/>
          <w:color w:val="000000" w:themeColor="text1"/>
        </w:rPr>
        <w:t xml:space="preserve"> 3101</w:t>
      </w:r>
      <w:r>
        <w:rPr>
          <w:rFonts w:hAnsi="宋体"/>
          <w:bCs/>
          <w:color w:val="000000" w:themeColor="text1"/>
        </w:rPr>
        <w:t>和</w:t>
      </w:r>
      <w:r>
        <w:rPr>
          <w:rFonts w:hAnsi="宋体" w:hint="eastAsia"/>
          <w:bCs/>
          <w:color w:val="000000" w:themeColor="text1"/>
        </w:rPr>
        <w:t>GB</w:t>
      </w:r>
      <w:r>
        <w:rPr>
          <w:rFonts w:hAnsi="宋体"/>
          <w:bCs/>
          <w:color w:val="000000" w:themeColor="text1"/>
        </w:rPr>
        <w:t xml:space="preserve"> 3102</w:t>
      </w:r>
      <w:r>
        <w:rPr>
          <w:rFonts w:hAnsi="宋体"/>
          <w:bCs/>
          <w:color w:val="000000" w:themeColor="text1"/>
        </w:rPr>
        <w:t>的规定</w:t>
      </w:r>
      <w:r>
        <w:rPr>
          <w:rFonts w:hAnsi="宋体" w:hint="eastAsia"/>
          <w:bCs/>
          <w:color w:val="000000" w:themeColor="text1"/>
        </w:rPr>
        <w:t>，</w:t>
      </w:r>
      <w:r>
        <w:rPr>
          <w:rFonts w:hAnsi="宋体"/>
          <w:bCs/>
          <w:color w:val="000000" w:themeColor="text1"/>
          <w:szCs w:val="21"/>
        </w:rPr>
        <w:t>表格中连续数的分组应科学，</w:t>
      </w:r>
      <w:r>
        <w:rPr>
          <w:rFonts w:hAnsi="宋体" w:hint="eastAsia"/>
          <w:bCs/>
          <w:color w:val="000000" w:themeColor="text1"/>
          <w:szCs w:val="21"/>
        </w:rPr>
        <w:t>不得</w:t>
      </w:r>
      <w:r>
        <w:rPr>
          <w:rFonts w:hAnsi="宋体"/>
          <w:bCs/>
          <w:color w:val="000000" w:themeColor="text1"/>
          <w:szCs w:val="21"/>
        </w:rPr>
        <w:t>重叠</w:t>
      </w:r>
      <w:r>
        <w:rPr>
          <w:rFonts w:hAnsi="宋体" w:hint="eastAsia"/>
          <w:bCs/>
          <w:color w:val="000000" w:themeColor="text1"/>
          <w:szCs w:val="21"/>
        </w:rPr>
        <w:t>和</w:t>
      </w:r>
      <w:r>
        <w:rPr>
          <w:rFonts w:hAnsi="宋体"/>
          <w:bCs/>
          <w:color w:val="000000" w:themeColor="text1"/>
          <w:szCs w:val="21"/>
        </w:rPr>
        <w:t>遗漏</w:t>
      </w:r>
      <w:r>
        <w:rPr>
          <w:rFonts w:hAnsi="宋体" w:hint="eastAsia"/>
          <w:bCs/>
          <w:color w:val="000000" w:themeColor="text1"/>
          <w:szCs w:val="21"/>
        </w:rPr>
        <w:t>，</w:t>
      </w:r>
      <w:r>
        <w:rPr>
          <w:rFonts w:hint="eastAsia"/>
          <w:bCs/>
          <w:color w:val="000000" w:themeColor="text1"/>
        </w:rPr>
        <w:t>表格中的术语、数值、符号等应与行文以及其他表格表述相一致。</w:t>
      </w:r>
    </w:p>
    <w:p>
      <w:pPr>
        <w:pStyle w:val="af"/>
        <w:widowControl/>
        <w:numPr>
          <w:ilvl w:val="0"/>
          <w:numId w:val="4"/>
        </w:numPr>
        <w:overflowPunct w:val="0"/>
        <w:autoSpaceDE w:val="0"/>
        <w:autoSpaceDN w:val="0"/>
        <w:adjustRightInd w:val="0"/>
        <w:snapToGrid w:val="0"/>
        <w:spacing w:beforeLines="100" w:afterLines="100" w:line="400" w:lineRule="exact"/>
        <w:ind w:firstLineChars="0"/>
        <w:contextualSpacing/>
        <w:outlineLvl w:val="1"/>
        <w:rPr>
          <w:rFonts w:ascii="黑体" w:eastAsia="黑体"/>
          <w:b/>
          <w:color w:val="000000" w:themeColor="text1"/>
          <w:sz w:val="28"/>
          <w:szCs w:val="28"/>
        </w:rPr>
      </w:pPr>
      <w:r>
        <w:rPr>
          <w:rFonts w:hint="eastAsia"/>
          <w:b/>
          <w:bCs/>
          <w:color w:val="000000" w:themeColor="text1"/>
          <w:sz w:val="28"/>
          <w:szCs w:val="28"/>
        </w:rPr>
        <w:t>表格的版式要求</w:t>
      </w:r>
    </w:p>
    <w:p>
      <w:pPr>
        <w:overflowPunct w:val="0"/>
        <w:autoSpaceDE w:val="0"/>
        <w:autoSpaceDN w:val="0"/>
        <w:adjustRightInd w:val="0"/>
        <w:snapToGrid w:val="0"/>
        <w:spacing w:afterLines="50" w:line="400" w:lineRule="exact"/>
        <w:ind w:firstLineChars="200" w:firstLine="420"/>
        <w:contextualSpacing/>
        <w:jc w:val="left"/>
        <w:rPr>
          <w:rFonts w:ascii="宋体" w:hAnsi="宋体"/>
          <w:bCs/>
          <w:kern w:val="0"/>
          <w:szCs w:val="21"/>
        </w:rPr>
      </w:pPr>
      <w:r>
        <w:rPr>
          <w:rFonts w:ascii="宋体" w:hAnsi="宋体" w:cstheme="minorBidi" w:hint="eastAsia"/>
          <w:bCs/>
        </w:rPr>
        <w:t>1）表格宜随文编排，一般排在第1次提及该表序号的行文之后；</w:t>
      </w:r>
      <w:r>
        <w:rPr>
          <w:rFonts w:ascii="宋体" w:hAnsi="宋体" w:hint="eastAsia"/>
          <w:bCs/>
          <w:kern w:val="0"/>
          <w:szCs w:val="21"/>
        </w:rPr>
        <w:t>表序号和表题宜</w:t>
      </w:r>
      <w:r>
        <w:rPr>
          <w:rFonts w:ascii="宋体" w:hAnsi="宋体"/>
          <w:bCs/>
          <w:kern w:val="0"/>
          <w:szCs w:val="21"/>
        </w:rPr>
        <w:t>置于</w:t>
      </w:r>
      <w:r>
        <w:rPr>
          <w:rFonts w:ascii="宋体" w:hAnsi="宋体" w:hint="eastAsia"/>
          <w:bCs/>
          <w:kern w:val="0"/>
          <w:szCs w:val="21"/>
        </w:rPr>
        <w:t>表</w:t>
      </w:r>
      <w:r>
        <w:rPr>
          <w:rFonts w:ascii="宋体" w:hAnsi="宋体"/>
          <w:bCs/>
          <w:kern w:val="0"/>
          <w:szCs w:val="21"/>
        </w:rPr>
        <w:t>的正</w:t>
      </w:r>
      <w:r>
        <w:rPr>
          <w:rFonts w:ascii="宋体" w:hAnsi="宋体" w:hint="eastAsia"/>
          <w:bCs/>
          <w:kern w:val="0"/>
          <w:szCs w:val="21"/>
        </w:rPr>
        <w:t>上</w:t>
      </w:r>
      <w:r>
        <w:rPr>
          <w:rFonts w:ascii="宋体" w:hAnsi="宋体"/>
          <w:bCs/>
          <w:kern w:val="0"/>
          <w:szCs w:val="21"/>
        </w:rPr>
        <w:t>方。</w:t>
      </w:r>
      <w:r>
        <w:rPr>
          <w:rFonts w:ascii="宋体" w:hAnsi="宋体" w:hint="eastAsia"/>
          <w:bCs/>
          <w:kern w:val="0"/>
          <w:szCs w:val="21"/>
        </w:rPr>
        <w:t>表题应置</w:t>
      </w:r>
      <w:r>
        <w:rPr>
          <w:rFonts w:ascii="宋体" w:hAnsi="宋体"/>
          <w:bCs/>
          <w:kern w:val="0"/>
          <w:szCs w:val="21"/>
        </w:rPr>
        <w:t>于</w:t>
      </w:r>
      <w:r>
        <w:rPr>
          <w:rFonts w:ascii="宋体" w:hAnsi="宋体" w:hint="eastAsia"/>
          <w:bCs/>
          <w:kern w:val="0"/>
          <w:szCs w:val="21"/>
        </w:rPr>
        <w:t>表序号</w:t>
      </w:r>
      <w:r>
        <w:rPr>
          <w:rFonts w:ascii="宋体" w:hAnsi="宋体"/>
          <w:bCs/>
          <w:kern w:val="0"/>
          <w:szCs w:val="21"/>
        </w:rPr>
        <w:t>后</w:t>
      </w:r>
      <w:r>
        <w:rPr>
          <w:rFonts w:ascii="宋体" w:hAnsi="宋体" w:hint="eastAsia"/>
          <w:bCs/>
          <w:kern w:val="0"/>
          <w:szCs w:val="21"/>
        </w:rPr>
        <w:t>，</w:t>
      </w:r>
      <w:r>
        <w:rPr>
          <w:rFonts w:ascii="宋体" w:hAnsi="宋体"/>
          <w:bCs/>
          <w:kern w:val="0"/>
          <w:szCs w:val="21"/>
        </w:rPr>
        <w:t>与</w:t>
      </w:r>
      <w:r>
        <w:rPr>
          <w:rFonts w:ascii="宋体" w:hAnsi="宋体" w:hint="eastAsia"/>
          <w:bCs/>
          <w:kern w:val="0"/>
          <w:szCs w:val="21"/>
        </w:rPr>
        <w:t>表序</w:t>
      </w:r>
      <w:r>
        <w:rPr>
          <w:rFonts w:ascii="宋体" w:hAnsi="宋体"/>
          <w:bCs/>
          <w:kern w:val="0"/>
          <w:szCs w:val="21"/>
        </w:rPr>
        <w:t>号之间空一</w:t>
      </w:r>
      <w:r>
        <w:rPr>
          <w:rFonts w:ascii="宋体" w:hAnsi="宋体" w:hint="eastAsia"/>
          <w:bCs/>
          <w:kern w:val="0"/>
          <w:szCs w:val="21"/>
        </w:rPr>
        <w:t>格</w:t>
      </w:r>
      <w:r>
        <w:rPr>
          <w:rFonts w:ascii="宋体" w:hAnsi="宋体"/>
          <w:bCs/>
          <w:kern w:val="0"/>
          <w:szCs w:val="21"/>
        </w:rPr>
        <w:t>。</w:t>
      </w:r>
      <w:r>
        <w:rPr>
          <w:rFonts w:ascii="宋体" w:hAnsi="宋体" w:hint="eastAsia"/>
          <w:bCs/>
          <w:kern w:val="0"/>
          <w:szCs w:val="21"/>
        </w:rPr>
        <w:t>题末不加点号。表</w:t>
      </w:r>
      <w:r>
        <w:rPr>
          <w:rFonts w:ascii="宋体" w:hAnsi="宋体"/>
          <w:bCs/>
          <w:kern w:val="0"/>
          <w:szCs w:val="21"/>
        </w:rPr>
        <w:t>题</w:t>
      </w:r>
      <w:r>
        <w:rPr>
          <w:rFonts w:ascii="宋体" w:hAnsi="宋体" w:hint="eastAsia"/>
          <w:bCs/>
          <w:kern w:val="0"/>
          <w:szCs w:val="21"/>
        </w:rPr>
        <w:t>的长度一般不应超过表的宽度。表题较长需要转行时，应从意义相对完整的停顿处转行。</w:t>
      </w:r>
    </w:p>
    <w:p>
      <w:pPr>
        <w:pStyle w:val="ad"/>
        <w:overflowPunct w:val="0"/>
        <w:spacing w:afterLines="50" w:line="400" w:lineRule="exact"/>
        <w:outlineLvl w:val="2"/>
        <w:rPr>
          <w:rFonts w:eastAsia="宋体" w:hAnsi="宋体"/>
          <w:bCs/>
          <w:szCs w:val="21"/>
        </w:rPr>
      </w:pPr>
      <w:r>
        <w:rPr>
          <w:rFonts w:eastAsia="宋体" w:hAnsi="宋体" w:hint="eastAsia"/>
        </w:rPr>
        <w:t>2）</w:t>
      </w:r>
      <w:r>
        <w:rPr>
          <w:rFonts w:eastAsia="宋体" w:hAnsi="宋体" w:hint="eastAsia"/>
          <w:bCs/>
          <w:kern w:val="0"/>
          <w:szCs w:val="21"/>
        </w:rPr>
        <w:t>表</w:t>
      </w:r>
      <w:r>
        <w:rPr>
          <w:rFonts w:eastAsia="宋体" w:hAnsi="宋体"/>
          <w:bCs/>
          <w:kern w:val="0"/>
          <w:szCs w:val="21"/>
        </w:rPr>
        <w:t>注</w:t>
      </w:r>
      <w:r>
        <w:rPr>
          <w:rFonts w:eastAsia="宋体" w:hAnsi="宋体" w:hint="eastAsia"/>
          <w:bCs/>
          <w:kern w:val="0"/>
          <w:szCs w:val="21"/>
        </w:rPr>
        <w:t>应</w:t>
      </w:r>
      <w:r>
        <w:rPr>
          <w:rFonts w:eastAsia="宋体" w:hAnsi="宋体"/>
          <w:bCs/>
          <w:kern w:val="0"/>
          <w:szCs w:val="21"/>
        </w:rPr>
        <w:t>置于</w:t>
      </w:r>
      <w:r>
        <w:rPr>
          <w:rFonts w:eastAsia="宋体" w:hAnsi="宋体" w:hint="eastAsia"/>
          <w:bCs/>
          <w:kern w:val="0"/>
          <w:szCs w:val="21"/>
        </w:rPr>
        <w:t>表的下方</w:t>
      </w:r>
      <w:r>
        <w:rPr>
          <w:rFonts w:eastAsia="宋体" w:hAnsi="宋体"/>
          <w:bCs/>
          <w:kern w:val="0"/>
          <w:szCs w:val="21"/>
        </w:rPr>
        <w:t>。</w:t>
      </w:r>
      <w:r>
        <w:rPr>
          <w:rFonts w:eastAsia="宋体" w:hAnsi="宋体" w:hint="eastAsia"/>
          <w:bCs/>
          <w:szCs w:val="21"/>
        </w:rPr>
        <w:t>各条</w:t>
      </w:r>
      <w:r>
        <w:rPr>
          <w:rFonts w:eastAsia="宋体" w:hAnsi="宋体"/>
          <w:bCs/>
          <w:szCs w:val="21"/>
        </w:rPr>
        <w:t>注之间用分号隔开，</w:t>
      </w:r>
      <w:r>
        <w:rPr>
          <w:rFonts w:eastAsia="宋体" w:hAnsi="宋体" w:hint="eastAsia"/>
          <w:bCs/>
          <w:szCs w:val="21"/>
        </w:rPr>
        <w:t>最后一条</w:t>
      </w:r>
      <w:r>
        <w:rPr>
          <w:rFonts w:eastAsia="宋体" w:hAnsi="宋体"/>
          <w:bCs/>
          <w:szCs w:val="21"/>
        </w:rPr>
        <w:t>注末宜</w:t>
      </w:r>
      <w:r>
        <w:rPr>
          <w:rFonts w:eastAsia="宋体" w:hAnsi="宋体" w:hint="eastAsia"/>
          <w:bCs/>
          <w:szCs w:val="21"/>
        </w:rPr>
        <w:t>加句号</w:t>
      </w:r>
      <w:r>
        <w:rPr>
          <w:rFonts w:eastAsia="宋体" w:hAnsi="宋体"/>
          <w:bCs/>
          <w:szCs w:val="21"/>
        </w:rPr>
        <w:t>。</w:t>
      </w:r>
    </w:p>
    <w:p>
      <w:pPr>
        <w:pStyle w:val="ad"/>
        <w:overflowPunct w:val="0"/>
        <w:spacing w:afterLines="50" w:line="400" w:lineRule="exact"/>
        <w:outlineLvl w:val="2"/>
        <w:rPr>
          <w:rFonts w:eastAsia="宋体" w:hAnsi="宋体"/>
          <w:bCs/>
          <w:color w:val="000000" w:themeColor="text1"/>
          <w:szCs w:val="21"/>
        </w:rPr>
      </w:pPr>
      <w:r>
        <w:rPr>
          <w:rFonts w:eastAsia="宋体" w:hAnsi="宋体" w:hint="eastAsia"/>
          <w:bCs/>
          <w:szCs w:val="21"/>
        </w:rPr>
        <w:t>3）</w:t>
      </w:r>
      <w:r>
        <w:rPr>
          <w:rFonts w:eastAsia="宋体" w:hAnsi="宋体" w:hint="eastAsia"/>
          <w:szCs w:val="21"/>
        </w:rPr>
        <w:t>表的版面位置</w:t>
      </w:r>
      <w:r>
        <w:rPr>
          <w:rFonts w:eastAsia="宋体" w:hAnsi="宋体"/>
          <w:bCs/>
          <w:szCs w:val="21"/>
        </w:rPr>
        <w:t>小于版面</w:t>
      </w:r>
      <w:r>
        <w:rPr>
          <w:rFonts w:eastAsia="宋体" w:hAnsi="宋体" w:hint="eastAsia"/>
          <w:bCs/>
          <w:szCs w:val="21"/>
        </w:rPr>
        <w:t>1</w:t>
      </w:r>
      <w:r>
        <w:rPr>
          <w:rFonts w:eastAsia="宋体" w:hAnsi="宋体"/>
          <w:bCs/>
          <w:szCs w:val="21"/>
        </w:rPr>
        <w:t>/</w:t>
      </w:r>
      <w:r>
        <w:rPr>
          <w:rFonts w:eastAsia="宋体" w:hAnsi="宋体" w:hint="eastAsia"/>
          <w:bCs/>
          <w:szCs w:val="21"/>
        </w:rPr>
        <w:t>2时，表格</w:t>
      </w:r>
      <w:r>
        <w:rPr>
          <w:rFonts w:eastAsia="宋体" w:hAnsi="宋体"/>
          <w:bCs/>
          <w:szCs w:val="21"/>
        </w:rPr>
        <w:t>宜串文排</w:t>
      </w:r>
      <w:r>
        <w:rPr>
          <w:rFonts w:eastAsia="宋体" w:hAnsi="宋体" w:hint="eastAsia"/>
          <w:bCs/>
          <w:szCs w:val="21"/>
        </w:rPr>
        <w:t>；等于或</w:t>
      </w:r>
      <w:r>
        <w:rPr>
          <w:rFonts w:eastAsia="宋体" w:hAnsi="宋体"/>
          <w:bCs/>
          <w:szCs w:val="21"/>
        </w:rPr>
        <w:t>大于</w:t>
      </w:r>
      <w:r>
        <w:rPr>
          <w:rFonts w:eastAsia="宋体" w:hAnsi="宋体" w:hint="eastAsia"/>
          <w:bCs/>
          <w:szCs w:val="21"/>
        </w:rPr>
        <w:t>1</w:t>
      </w:r>
      <w:r>
        <w:rPr>
          <w:rFonts w:eastAsia="宋体" w:hAnsi="宋体"/>
          <w:bCs/>
          <w:szCs w:val="21"/>
        </w:rPr>
        <w:t>/</w:t>
      </w:r>
      <w:r>
        <w:rPr>
          <w:rFonts w:eastAsia="宋体" w:hAnsi="宋体" w:hint="eastAsia"/>
          <w:bCs/>
          <w:szCs w:val="21"/>
        </w:rPr>
        <w:t>2</w:t>
      </w:r>
      <w:r>
        <w:rPr>
          <w:rFonts w:eastAsia="宋体" w:hAnsi="宋体"/>
          <w:bCs/>
          <w:szCs w:val="21"/>
        </w:rPr>
        <w:t>版面的</w:t>
      </w:r>
      <w:r>
        <w:rPr>
          <w:rFonts w:eastAsia="宋体" w:hAnsi="宋体" w:hint="eastAsia"/>
          <w:bCs/>
          <w:szCs w:val="21"/>
        </w:rPr>
        <w:t>表格</w:t>
      </w:r>
      <w:r>
        <w:rPr>
          <w:rFonts w:eastAsia="宋体" w:hAnsi="宋体"/>
          <w:bCs/>
          <w:szCs w:val="21"/>
        </w:rPr>
        <w:t>宜</w:t>
      </w:r>
      <w:r>
        <w:rPr>
          <w:rFonts w:eastAsia="宋体" w:hAnsi="宋体" w:hint="eastAsia"/>
          <w:bCs/>
          <w:szCs w:val="21"/>
        </w:rPr>
        <w:t>通栏</w:t>
      </w:r>
      <w:r>
        <w:rPr>
          <w:rFonts w:eastAsia="宋体" w:hAnsi="宋体"/>
          <w:bCs/>
          <w:szCs w:val="21"/>
        </w:rPr>
        <w:t>排。</w:t>
      </w:r>
      <w:r>
        <w:rPr>
          <w:rFonts w:eastAsia="宋体" w:hAnsi="宋体" w:hint="eastAsia"/>
          <w:bCs/>
          <w:color w:val="000000" w:themeColor="text1"/>
          <w:szCs w:val="21"/>
        </w:rPr>
        <w:t>表格一面排不下时，</w:t>
      </w:r>
      <w:r>
        <w:rPr>
          <w:rFonts w:eastAsia="宋体" w:hAnsi="宋体" w:hint="eastAsia"/>
          <w:noProof/>
          <w:color w:val="000000" w:themeColor="text1"/>
        </w:rPr>
        <w:t>可采用换页接排的方法处理。换页接排的表格</w:t>
      </w:r>
      <w:r>
        <w:rPr>
          <w:rFonts w:eastAsia="宋体" w:hAnsi="宋体" w:hint="eastAsia"/>
          <w:bCs/>
          <w:color w:val="000000" w:themeColor="text1"/>
          <w:szCs w:val="21"/>
        </w:rPr>
        <w:t>应重复表头并在上方加“表X（续）”。超过版心宽度的表，可作卧排处理。卧排时，遵循“顶左底右”的原则，双码页表头应沿切口，单码页表头应沿钉口。</w:t>
      </w:r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4124B"/>
    <w:multiLevelType w:val="hybridMultilevel"/>
    <w:tmpl w:val="C12676A0"/>
    <w:lvl w:ilvl="0" w:tplc="B0762242">
      <w:start w:val="1"/>
      <w:numFmt w:val="decimal"/>
      <w:lvlText w:val="%1）"/>
      <w:lvlJc w:val="left"/>
      <w:pPr>
        <w:ind w:left="1125" w:hanging="705"/>
      </w:pPr>
      <w:rPr>
        <w:rFonts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21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2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3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2">
    <w:nsid w:val="44C50F90"/>
    <w:multiLevelType w:val="multilevel"/>
    <w:tmpl w:val="44C50F90"/>
    <w:lvl w:ilvl="0">
      <w:start w:val="1"/>
      <w:numFmt w:val="lowerLetter"/>
      <w:pStyle w:val="a4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Ansi="宋体" w:hint="eastAsia"/>
        <w:b w:val="0"/>
        <w:i w:val="0"/>
        <w:sz w:val="20"/>
        <w:szCs w:val="21"/>
      </w:rPr>
    </w:lvl>
    <w:lvl w:ilvl="1">
      <w:start w:val="1"/>
      <w:numFmt w:val="decimal"/>
      <w:pStyle w:val="a5"/>
      <w:lvlText w:val="%2)"/>
      <w:lvlJc w:val="left"/>
      <w:pPr>
        <w:tabs>
          <w:tab w:val="num" w:pos="1259"/>
        </w:tabs>
        <w:ind w:left="1259" w:hanging="420"/>
      </w:pPr>
      <w:rPr>
        <w:rFonts w:ascii="宋体" w:eastAsia="宋体" w:hAnsi="宋体" w:hint="eastAsia"/>
        <w:b w:val="0"/>
        <w:i w:val="0"/>
        <w:sz w:val="20"/>
      </w:rPr>
    </w:lvl>
    <w:lvl w:ilvl="2">
      <w:start w:val="1"/>
      <w:numFmt w:val="decimal"/>
      <w:pStyle w:val="a6"/>
      <w:lvlText w:val="(%3)"/>
      <w:lvlJc w:val="left"/>
      <w:pPr>
        <w:tabs>
          <w:tab w:val="num" w:pos="0"/>
        </w:tabs>
        <w:ind w:left="1678" w:hanging="419"/>
      </w:pPr>
      <w:rPr>
        <w:rFonts w:ascii="宋体" w:eastAsia="宋体" w:hAnsi="宋体" w:hint="eastAsia"/>
        <w:b w:val="0"/>
        <w:i w:val="0"/>
        <w:sz w:val="20"/>
        <w:szCs w:val="21"/>
      </w:rPr>
    </w:lvl>
    <w:lvl w:ilvl="3">
      <w:start w:val="1"/>
      <w:numFmt w:val="decimal"/>
      <w:lvlText w:val="%4."/>
      <w:lvlJc w:val="left"/>
      <w:pPr>
        <w:tabs>
          <w:tab w:val="num" w:pos="2098"/>
        </w:tabs>
        <w:ind w:left="2098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17"/>
        </w:tabs>
        <w:ind w:left="2517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2"/>
        </w:tabs>
        <w:ind w:left="293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2"/>
        </w:tabs>
        <w:ind w:left="3356" w:hanging="41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1"/>
        </w:tabs>
        <w:ind w:left="3776" w:hanging="41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1"/>
        </w:tabs>
        <w:ind w:left="4201" w:hanging="420"/>
      </w:pPr>
      <w:rPr>
        <w:rFonts w:hint="eastAsia"/>
      </w:rPr>
    </w:lvl>
  </w:abstractNum>
  <w:abstractNum w:abstractNumId="3">
    <w:nsid w:val="77CF2096"/>
    <w:multiLevelType w:val="hybridMultilevel"/>
    <w:tmpl w:val="D8B07484"/>
    <w:lvl w:ilvl="0" w:tplc="A0729C9E">
      <w:start w:val="3"/>
      <w:numFmt w:val="decimal"/>
      <w:lvlText w:val="%1"/>
      <w:lvlJc w:val="left"/>
      <w:pPr>
        <w:ind w:left="360" w:hanging="360"/>
      </w:pPr>
      <w:rPr>
        <w:rFonts w:ascii="Times New Roman"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7">
    <w:name w:val="Normal"/>
    <w:qFormat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7"/>
    <w:next w:val="a7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styleId="ab">
    <w:name w:val="header"/>
    <w:basedOn w:val="a7"/>
    <w:link w:val="Char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8"/>
    <w:link w:val="ab"/>
    <w:uiPriority w:val="99"/>
    <w:semiHidden/>
    <w:rPr>
      <w:sz w:val="18"/>
      <w:szCs w:val="18"/>
    </w:rPr>
  </w:style>
  <w:style w:type="paragraph" w:styleId="ac">
    <w:name w:val="footer"/>
    <w:basedOn w:val="a7"/>
    <w:link w:val="Char0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8"/>
    <w:link w:val="ac"/>
    <w:uiPriority w:val="99"/>
    <w:semiHidden/>
    <w:rPr>
      <w:sz w:val="18"/>
      <w:szCs w:val="18"/>
    </w:rPr>
  </w:style>
  <w:style w:type="character" w:customStyle="1" w:styleId="1Char">
    <w:name w:val="标题 1 Char"/>
    <w:basedOn w:val="a8"/>
    <w:link w:val="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1">
    <w:name w:val="段 Char"/>
    <w:link w:val="ad"/>
    <w:rPr>
      <w:rFonts w:ascii="宋体"/>
    </w:rPr>
  </w:style>
  <w:style w:type="paragraph" w:customStyle="1" w:styleId="ad">
    <w:name w:val="段"/>
    <w:link w:val="Char1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</w:rPr>
  </w:style>
  <w:style w:type="paragraph" w:customStyle="1" w:styleId="a1">
    <w:name w:val="二级条标题"/>
    <w:basedOn w:val="a0"/>
    <w:next w:val="ad"/>
    <w:pPr>
      <w:numPr>
        <w:ilvl w:val="2"/>
      </w:numPr>
      <w:outlineLvl w:val="3"/>
    </w:pPr>
  </w:style>
  <w:style w:type="paragraph" w:customStyle="1" w:styleId="a">
    <w:name w:val="章标题"/>
    <w:next w:val="ad"/>
    <w:pPr>
      <w:numPr>
        <w:numId w:val="1"/>
      </w:numPr>
      <w:spacing w:beforeLines="100" w:afterLines="10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0">
    <w:name w:val="一级条标题"/>
    <w:next w:val="ad"/>
    <w:pPr>
      <w:numPr>
        <w:ilvl w:val="1"/>
        <w:numId w:val="1"/>
      </w:numPr>
      <w:spacing w:beforeLines="50" w:afterLines="50"/>
      <w:outlineLvl w:val="2"/>
    </w:pPr>
    <w:rPr>
      <w:rFonts w:ascii="黑体" w:eastAsia="黑体" w:hAnsi="Times New Roman" w:cs="Times New Roman"/>
      <w:kern w:val="0"/>
      <w:szCs w:val="21"/>
    </w:rPr>
  </w:style>
  <w:style w:type="paragraph" w:customStyle="1" w:styleId="a2">
    <w:name w:val="四级条标题"/>
    <w:basedOn w:val="a7"/>
    <w:next w:val="ad"/>
    <w:pPr>
      <w:widowControl/>
      <w:numPr>
        <w:ilvl w:val="4"/>
        <w:numId w:val="1"/>
      </w:numPr>
      <w:spacing w:beforeLines="50" w:afterLines="50"/>
      <w:jc w:val="left"/>
      <w:outlineLvl w:val="5"/>
    </w:pPr>
    <w:rPr>
      <w:rFonts w:ascii="黑体" w:eastAsia="黑体"/>
      <w:kern w:val="0"/>
      <w:szCs w:val="21"/>
    </w:rPr>
  </w:style>
  <w:style w:type="paragraph" w:customStyle="1" w:styleId="a3">
    <w:name w:val="五级条标题"/>
    <w:basedOn w:val="a2"/>
    <w:next w:val="ad"/>
    <w:pPr>
      <w:numPr>
        <w:ilvl w:val="5"/>
      </w:numPr>
      <w:outlineLvl w:val="6"/>
    </w:pPr>
  </w:style>
  <w:style w:type="paragraph" w:customStyle="1" w:styleId="a5">
    <w:name w:val="数字编号列项（二级）"/>
    <w:pPr>
      <w:numPr>
        <w:ilvl w:val="1"/>
        <w:numId w:val="2"/>
      </w:numPr>
      <w:tabs>
        <w:tab w:val="left" w:pos="1259"/>
      </w:tabs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e">
    <w:name w:val="目次、标准名称标题"/>
    <w:basedOn w:val="a7"/>
    <w:next w:val="ad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4">
    <w:name w:val="字母编号列项（一级）"/>
    <w:pPr>
      <w:numPr>
        <w:numId w:val="2"/>
      </w:numPr>
      <w:tabs>
        <w:tab w:val="left" w:pos="839"/>
      </w:tabs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6">
    <w:name w:val="编号列项（三级）"/>
    <w:pPr>
      <w:numPr>
        <w:ilvl w:val="2"/>
        <w:numId w:val="2"/>
      </w:numPr>
      <w:tabs>
        <w:tab w:val="left" w:pos="0"/>
      </w:tabs>
    </w:pPr>
    <w:rPr>
      <w:rFonts w:ascii="宋体" w:eastAsia="宋体" w:hAnsi="Times New Roman" w:cs="Times New Roman"/>
      <w:kern w:val="0"/>
      <w:szCs w:val="20"/>
    </w:rPr>
  </w:style>
  <w:style w:type="paragraph" w:styleId="af">
    <w:name w:val="List Paragraph"/>
    <w:basedOn w:val="a7"/>
    <w:uiPriority w:val="34"/>
    <w:qFormat/>
    <w:pPr>
      <w:ind w:firstLineChars="200" w:firstLine="420"/>
    </w:pPr>
  </w:style>
  <w:style w:type="paragraph" w:styleId="af0">
    <w:name w:val="Balloon Text"/>
    <w:basedOn w:val="a7"/>
    <w:link w:val="Char2"/>
    <w:uiPriority w:val="99"/>
    <w:semiHidden/>
    <w:unhideWhenUsed/>
    <w:rPr>
      <w:sz w:val="18"/>
      <w:szCs w:val="18"/>
    </w:rPr>
  </w:style>
  <w:style w:type="character" w:customStyle="1" w:styleId="Char2">
    <w:name w:val="批注框文本 Char"/>
    <w:basedOn w:val="a8"/>
    <w:link w:val="af0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zheng_xiaomei</dc:creator>
  <cp:lastModifiedBy>zheng_xiaomei</cp:lastModifiedBy>
  <cp:revision>2</cp:revision>
  <cp:lastPrinted>2017-10-22T09:55:00Z</cp:lastPrinted>
  <dcterms:created xsi:type="dcterms:W3CDTF">2019-03-06T10:00:00Z</dcterms:created>
  <dcterms:modified xsi:type="dcterms:W3CDTF">2019-03-06T10:00:00Z</dcterms:modified>
</cp:coreProperties>
</file>